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  <w:highlight w:val="lightGray"/>
        </w:rPr>
        <w:t>MEMORIAL DESCRITIVO</w:t>
      </w:r>
    </w:p>
    <w:p>
      <w:pPr>
        <w:pStyle w:val="Normal"/>
        <w:jc w:val="center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>DADOS DA OBRA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PROPRIETÁRIO: </w:t>
      </w:r>
      <w:r>
        <w:rPr>
          <w:rFonts w:cs="Arial" w:ascii="Arial Narrow" w:hAnsi="Arial Narrow"/>
          <w:sz w:val="24"/>
          <w:szCs w:val="24"/>
        </w:rPr>
        <w:t>PREFEITURA MUNICIPAL DE ANANINDEUA/ SECRETARIA MUNICIPAL DE SAÚDE DE ANANINDEUA</w:t>
      </w:r>
    </w:p>
    <w:p>
      <w:pPr>
        <w:pStyle w:val="ListParagraph"/>
        <w:spacing w:before="0" w:after="0"/>
        <w:ind w:left="360" w:hanging="0"/>
        <w:contextualSpacing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3110230</wp:posOffset>
            </wp:positionH>
            <wp:positionV relativeFrom="paragraph">
              <wp:posOffset>95885</wp:posOffset>
            </wp:positionV>
            <wp:extent cx="2722880" cy="1531620"/>
            <wp:effectExtent l="0" t="0" r="0" b="0"/>
            <wp:wrapSquare wrapText="largest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OBRA: </w:t>
      </w:r>
      <w:r>
        <w:rPr>
          <w:rFonts w:cs="Arial" w:ascii="Arial Narrow" w:hAnsi="Arial Narrow"/>
          <w:sz w:val="24"/>
          <w:szCs w:val="24"/>
        </w:rPr>
        <w:t>CONSTRUÇÃO DA UBS PEDREIRINHA II</w:t>
      </w:r>
    </w:p>
    <w:p>
      <w:pPr>
        <w:pStyle w:val="Normal"/>
        <w:spacing w:before="0" w:after="0"/>
        <w:jc w:val="both"/>
        <w:rPr>
          <w:rFonts w:ascii="Arial Narrow" w:hAnsi="Arial Narrow" w:cs="Arial"/>
          <w:b/>
          <w:b/>
          <w:sz w:val="24"/>
          <w:szCs w:val="24"/>
        </w:rPr>
      </w:pPr>
      <w:r>
        <w:rPr>
          <w:rFonts w:cs="Arial" w:ascii="Arial Narrow" w:hAnsi="Arial Narrow"/>
          <w:b/>
          <w:sz w:val="24"/>
          <w:szCs w:val="24"/>
        </w:rPr>
        <w:t xml:space="preserve">ENDEREÇO: </w:t>
      </w:r>
    </w:p>
    <w:p>
      <w:pPr>
        <w:pStyle w:val="Normal"/>
        <w:spacing w:before="0"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>Rua Socilar nº 21 – Bairro Pedreirinha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Ananindeua – PA </w:t>
      </w:r>
    </w:p>
    <w:p>
      <w:pPr>
        <w:pStyle w:val="Normal"/>
        <w:jc w:val="both"/>
        <w:rPr/>
      </w:pPr>
      <w:r>
        <w:rPr>
          <w:rFonts w:cs="Arial" w:ascii="Arial Narrow" w:hAnsi="Arial Narrow"/>
          <w:b/>
          <w:bCs/>
          <w:sz w:val="24"/>
          <w:szCs w:val="24"/>
        </w:rPr>
        <w:t xml:space="preserve">ÁREA DO TERRENO: </w:t>
      </w:r>
      <w:r>
        <w:rPr>
          <w:rFonts w:cs="Arial" w:ascii="Arial Narrow" w:hAnsi="Arial Narrow"/>
          <w:sz w:val="24"/>
          <w:szCs w:val="24"/>
        </w:rPr>
        <w:t>1250,00 m²</w:t>
      </w:r>
    </w:p>
    <w:p>
      <w:pPr>
        <w:pStyle w:val="Normal"/>
        <w:jc w:val="center"/>
        <w:rPr>
          <w:rFonts w:ascii="Arial Narrow" w:hAnsi="Arial Narrow" w:cs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</w:r>
      <w:r>
        <w:rPr>
          <w:rFonts w:cs="Arial" w:ascii="Arial Narrow" w:hAnsi="Arial Narrow"/>
          <w:b/>
          <w:bCs/>
          <w:sz w:val="24"/>
          <w:szCs w:val="24"/>
        </w:rPr>
        <w:t>CONSIDERAÇÕES INICIAIS</w:t>
      </w:r>
    </w:p>
    <w:p>
      <w:pPr>
        <w:pStyle w:val="Normal"/>
        <w:spacing w:lineRule="auto" w:line="276" w:before="57" w:after="217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  <w:t>A Requalificação das UBS’s é uma das estratégias do Ministério da Saúde para a estruturação e o fortalecimento da Atenção Básica. Por meio do programa, o MS propõe uma estrutura física das unidades básicas de saúde - acolhedoras e dentro dos melhores padrões de qualidade - que facilite a mudança das práticas das equipes de Saúde. Com isso, criou se o programa de incentivo financeiro para a reforma, ampliação e construção de UBS, provendo condições adequadas para o trabalho em saúde, promovendo melhoria do acesso e da qualidade da atenção básica.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 xml:space="preserve">O município de Ananindeua, adere ao programa para qualificar e restaurar o espaço físico das unidades de saúde, atuando com diligência nas obras e manutenções da secretaria de saúde, assim como, através do Diagnóstico, com serviços de consultas clínicas com médicos, realização de exames gráficos e de imagem com fins diagnósticos e oferta de pequenos procedimentos, entre outros. Oferecendo um maior bem-estar aos pacientes do SUS, que não precisam mais se deslocar longas distâncias ou aguardar muito tempo para atendimento, por meio de uma equipe multiprofissional qualificada e preparada para atender as demandas da região.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 Narrow" w:hAnsi="Arial Narrow"/>
          <w:b/>
          <w:bCs/>
          <w:sz w:val="24"/>
          <w:szCs w:val="24"/>
        </w:rPr>
        <w:tab/>
        <w:t xml:space="preserve">PROPOSTA ASSISTENCIAL 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  <w:t xml:space="preserve">A Unidade Básica de Saúde (UBS) é o contato preferencial dos usuários, a principal porta de entrada e centro de comunicação com toda a Rede de Atenção à Saúde. É instalada perto de onde as pessoas moram, trabalham, estudam e vivem e, com isso, desempenha um papel central na garantia de acesso à população a uma atenção à saúde de qualidade.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 xml:space="preserve">Na UBS, é possível receber atendimentos básicos e gratuitos em Pediatria, Ginecologia, Clínica Geral, Enfermagem e Odontologia. Os principais serviços oferecidos são consultas médicas, inalações, injeções, curativos, vacinas, coleta de exames laboratoriais, tratamento odontológico, encaminhamentos para especialidades e fornecimento de medicação básica. 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 xml:space="preserve"> </w:t>
      </w:r>
      <w:r>
        <w:rPr>
          <w:rFonts w:cs="Arial" w:ascii="Arial Narrow" w:hAnsi="Arial Narrow"/>
          <w:sz w:val="24"/>
          <w:szCs w:val="24"/>
        </w:rPr>
        <w:tab/>
        <w:t>A capacidade de organização dos municípios é imprescindível para a continuação do avanço nos serviços da estratégia Saúde da Família e para que as Equipes de Saúde da Família (ESF) disponham de instalações adequadas, de profissionais qualificados e em número suficiente.</w:t>
      </w:r>
    </w:p>
    <w:p>
      <w:pPr>
        <w:pStyle w:val="Normal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InterFaceDaMaLt-Bold" w:ascii="Arial Narrow" w:hAnsi="Arial Narrow"/>
          <w:b/>
          <w:bCs/>
          <w:sz w:val="24"/>
          <w:szCs w:val="24"/>
          <w:lang w:eastAsia="pt-BR"/>
        </w:rPr>
        <w:tab/>
      </w: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>AMBIÊNCIA</w:t>
      </w:r>
    </w:p>
    <w:p>
      <w:pPr>
        <w:pStyle w:val="Normal"/>
        <w:suppressAutoHyphens w:val="false"/>
        <w:spacing w:lineRule="auto" w:line="276"/>
        <w:ind w:firstLine="709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>Ambiência de uma Unidade Básica de Saúde significa o espaço físico (arquitetônico), que deve proporcionar uma atenção acolhedora e humana, tanto para os trabalhadores e profissionais de saúde, quanto para os usuários. Nos serviços de saúde, a ambiência é marcada pelas tecnologias ali presentes e por outros componentes estéticos ou sensíveis apreendidos pelo olhar, olfato e audição. A luminosidade, a temperatura e os ruídos do ambiente são exemplos disso.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Para um ambiente confortável, em uma UBS, existem componentes que atuam como modificadores e qualificadores do espaço como, por exemplo: recepção sem grades, para que não intimide ou dificulte a comunicação e garanta privacidade ao usuário; colocação de placas de identificação dos serviços existentes e sinalização dos fluxos; espaços adaptados para as pessoas com deficiência como, por exemplo, banheiros adaptados, barras de apoio, corrimão, rampas, larguras das portas, sinalizações, piso antiderrapante, balcão e bebedouros mais baixos para cadeirantes ou pessoas com baixa estatura, entre outros; tratamento das áreas externas, incluindo jardins; ambientes de apoio como copa, cozinha e banheiros.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VENTILAÇÃO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 ventilação adequada é imprescindível para se manter a salubridade nos ambientes da UBS. Recomenda-se que todos os ambientes disponham de janelas ou de ventilação indireta adequada (exaustores), possibilitando a circulação de ar.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ILUMINAÇÃO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que todos os ambientes sejam claros, com o máximo de luminosidade natural possível.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/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PISOS E PAREDES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Os materiais de revestimentos das paredes, tetos e pisos devem ser todos laváveis e de superfície lisa. Os pisos devem ter superfície regular, firme, estável e antiderrapante sob qualquer condição, que não provoque trepidação em dispositivos com rodas.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COBERTURA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evitar as calhas internas às salas de atendimento, embutidas e confinadas. Evite, também, lajes planas, impermeabilizadas, sem cobertura de proteção; quando necessário, utilizar sob cobertura.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MATERIAIS DE ACABAMENTO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Não utilize materiais rugosos, porosos ou texturizados no acabamento, EXCETO para os ambientes administrativos ou gerenciais e fachada.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 Narrow"/>
          <w:b/>
          <w:b/>
          <w:bCs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FLUXO DE PESSOAS E MATERIAIS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a) Todo o projeto da estrutura física da UBS deve considerar adequações que permitam o acesso de pessoas deficientes e de pessoas com limitações, como rampas de acesso, portas com dimensões ampliadas, maçanetas do tipo alavanca, barras de apoio etc.;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b) Deve-se restringir o acesso desnecessário de usuários aos ambientes, com o objetivo de se conseguir maior controle de transmissão de infecção. Sugere-se que algumas áreas sejam de tráfego restrito, especialmente os ambientes que tendem a ser mais contaminados, como a sala de procedimentos;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 xml:space="preserve">c) Os corredores para circulação de pacientes devem ter largura mínima de 1,50 m; 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d) Caso necessite de planejamento de rampas, consultar tabela da NBR 9050 da ABNT.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PORTA</w:t>
      </w: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>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As portas devem ser revestidas de material lavável;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Os puxadores das portas devem se adequar às necessidades das pessoas portadoras de deficiência; dar preferência às maçanetas de alavancas.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JANELA</w:t>
      </w: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>S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a utilização de materiais de maior durabilidade e que ofereçam facilidade de manutenção (alumínio, vidro temp. ou PVC). Recomenda-se a utilização de materiais que propiciem segurança e privacidade dos ambientes.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LAVATÓRIO/ PIA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Prever uso de telas mosqueteiras em áreas de grande incidência de insetos; RDC Nº 50 - capítulo de controle de infecções.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BANCADA, ARMÁRIO E ESTANTE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Armários e prateleiras deverão possuir superfícies lisas, duradouras e de fácil limpeza e desinfecção. Os armários e estantes deverão ser interna e externamente lisos, preferencialmente protegidos por pintura lavável ou outro material que possibilite a fácil limpeza.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Recomenda-se que estejam suspensos ou apoiados sobre soco (revestido com o mesmo material de acabamento do piso) a 1 m do piso. Prefira acabamentos arredondados que facilitam a limpeza e evitam ferimentos nos trabalhadores e usuários.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ÁREA EXTERNA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Prever passeio de proteção no perímetro externo da edificação e não usar vegetação faceando a alvenaria. Rampas para acesso à UBS. Desníveis de qualquer natureza devem ser evitados em rotas acessíveis.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b/>
          <w:bCs/>
          <w:sz w:val="24"/>
          <w:szCs w:val="24"/>
          <w:lang w:eastAsia="pt-BR"/>
        </w:rPr>
        <w:tab/>
        <w:t>SINALIZAÇÃO</w:t>
      </w:r>
    </w:p>
    <w:p>
      <w:pPr>
        <w:pStyle w:val="Normal"/>
        <w:suppressAutoHyphens w:val="false"/>
        <w:spacing w:lineRule="auto" w:line="276"/>
        <w:jc w:val="both"/>
        <w:rPr>
          <w:rFonts w:ascii="Arial Narrow" w:hAnsi="Arial Narrow" w:cs="Arial Narrow"/>
          <w:sz w:val="24"/>
          <w:szCs w:val="24"/>
          <w:lang w:eastAsia="pt-BR"/>
        </w:rPr>
      </w:pPr>
      <w:r>
        <w:rPr>
          <w:rFonts w:cs="Arial Narrow" w:ascii="Arial Narrow" w:hAnsi="Arial Narrow"/>
          <w:sz w:val="24"/>
          <w:szCs w:val="24"/>
          <w:lang w:eastAsia="pt-BR"/>
        </w:rPr>
        <w:tab/>
        <w:t>Devem ser consideradas também as sinalizações de ambientes, bem como as formas de comunicação e sinalização realizadas através de textos ou figuras (visual), caracteres em relevo, Braille ou figuras em relevo (tátil) e recursos auditivos (sonora). NBR 9050.</w:t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Arial" w:ascii="Arial Narrow" w:hAnsi="Arial Narrow"/>
          <w:b/>
          <w:bCs/>
          <w:sz w:val="24"/>
          <w:szCs w:val="24"/>
          <w:lang w:eastAsia="pt-BR"/>
        </w:rPr>
        <w:tab/>
      </w:r>
      <w:r>
        <w:rPr>
          <w:rFonts w:cs="Arial" w:ascii="Arial Narrow" w:hAnsi="Arial Narrow"/>
          <w:sz w:val="24"/>
          <w:szCs w:val="24"/>
          <w:lang w:eastAsia="pt-BR"/>
        </w:rPr>
        <w:t>As ESF estão capacitadas a resolver cerca de 85% dos problemas de saúde da comunidade. Portanto, é necessário dispor de recursos estruturais e equipamentos compatíveis que possibilitem a ação dos profissionais de saúde em relação a esse compromisso. É importante que a concepção arquitetônica das UBS se integre ao entorno, de acordo com os valores da comunidade local, que o acesso seja facilitado e que a identificação das unidades seja clara.</w:t>
      </w:r>
    </w:p>
    <w:p>
      <w:pPr>
        <w:pStyle w:val="Normal"/>
        <w:spacing w:lineRule="auto" w:line="276"/>
        <w:jc w:val="both"/>
        <w:rPr>
          <w:rFonts w:ascii="Arial Narrow" w:hAnsi="Arial Narrow" w:cs="InterFaceDaMaLt"/>
          <w:sz w:val="24"/>
          <w:szCs w:val="24"/>
          <w:lang w:eastAsia="pt-BR"/>
        </w:rPr>
      </w:pPr>
      <w:r>
        <w:rPr>
          <w:rFonts w:cs="InterFaceDaMaLt" w:ascii="Arial Narrow" w:hAnsi="Arial Narrow"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center"/>
        <w:rPr/>
      </w:pPr>
      <w:r>
        <w:rPr/>
      </w:r>
    </w:p>
    <w:p>
      <w:pPr>
        <w:pStyle w:val="Normal"/>
        <w:widowControl w:val="false"/>
        <w:spacing w:lineRule="auto" w:line="276"/>
        <w:jc w:val="center"/>
        <w:rPr/>
      </w:pPr>
      <w:r>
        <w:rPr>
          <w:rFonts w:cs="Arial" w:ascii="Arial Narrow" w:hAnsi="Arial Narrow"/>
          <w:sz w:val="24"/>
          <w:szCs w:val="24"/>
        </w:rPr>
        <w:t>_______________________________________________</w:t>
      </w:r>
    </w:p>
    <w:p>
      <w:pPr>
        <w:pStyle w:val="Normal"/>
        <w:widowControl w:val="false"/>
        <w:spacing w:lineRule="auto" w:line="276"/>
        <w:jc w:val="center"/>
        <w:rPr/>
      </w:pPr>
      <w:r>
        <w:rPr>
          <w:rFonts w:cs="Arial" w:ascii="Arial Narrow" w:hAnsi="Arial Narrow"/>
          <w:b/>
          <w:sz w:val="24"/>
          <w:szCs w:val="24"/>
        </w:rPr>
        <w:t>Responsável Técnico</w:t>
      </w:r>
    </w:p>
    <w:p>
      <w:pPr>
        <w:pStyle w:val="Normal"/>
        <w:spacing w:lineRule="auto" w:line="276"/>
        <w:jc w:val="both"/>
        <w:rPr>
          <w:rFonts w:ascii="Arial Narrow" w:hAnsi="Arial Narrow" w:cs="InterFaceDaMaLt-Bold"/>
          <w:b/>
          <w:b/>
          <w:bCs/>
          <w:sz w:val="24"/>
          <w:szCs w:val="24"/>
          <w:lang w:eastAsia="pt-BR"/>
        </w:rPr>
      </w:pPr>
      <w:r>
        <w:rPr>
          <w:rFonts w:cs="InterFaceDaMaLt-Bold" w:ascii="Arial Narrow" w:hAnsi="Arial Narrow"/>
          <w:b/>
          <w:bCs/>
          <w:sz w:val="24"/>
          <w:szCs w:val="24"/>
          <w:lang w:eastAsia="pt-BR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Arial Narrow" w:hAnsi="Arial Narrow" w:cs="Arial"/>
          <w:sz w:val="24"/>
          <w:szCs w:val="24"/>
        </w:rPr>
      </w:pPr>
      <w:r>
        <w:rPr>
          <w:rFonts w:cs="Arial" w:ascii="Arial Narrow" w:hAnsi="Arial Narrow"/>
          <w:sz w:val="24"/>
          <w:szCs w:val="24"/>
        </w:rPr>
      </w:r>
    </w:p>
    <w:p>
      <w:pPr>
        <w:pStyle w:val="Normal"/>
        <w:widowControl w:val="false"/>
        <w:spacing w:lineRule="auto" w:line="276" w:before="0" w:after="160"/>
        <w:jc w:val="both"/>
        <w:rPr>
          <w:rFonts w:ascii="Arial Narrow" w:hAnsi="Arial Narrow" w:cs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0" w:after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Av. Sn 21 N° 18 – Cidade Nova, Ananindeua – PA, CEP 67143-810</w:t>
    </w:r>
  </w:p>
  <w:p>
    <w:pPr>
      <w:pStyle w:val="Rodap"/>
      <w:jc w:val="center"/>
      <w:rPr>
        <w:sz w:val="20"/>
        <w:szCs w:val="20"/>
      </w:rPr>
    </w:pPr>
    <w:r>
      <w:rPr>
        <w:rFonts w:cs="Arial" w:ascii="Arial Narrow" w:hAnsi="Arial Narrow"/>
        <w:sz w:val="20"/>
        <w:szCs w:val="20"/>
      </w:rPr>
      <w:t>Email: engsesau@hotmail.com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21"/>
      <w:tabs>
        <w:tab w:val="clear" w:pos="708"/>
        <w:tab w:val="center" w:pos="5141" w:leader="none"/>
      </w:tabs>
      <w:ind w:left="708" w:firstLine="708"/>
      <w:rPr>
        <w:rFonts w:cs="Arial"/>
        <w:bCs/>
        <w:color w:val="000080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2021205</wp:posOffset>
          </wp:positionH>
          <wp:positionV relativeFrom="paragraph">
            <wp:posOffset>-161925</wp:posOffset>
          </wp:positionV>
          <wp:extent cx="1165225" cy="644525"/>
          <wp:effectExtent l="0" t="0" r="0" b="0"/>
          <wp:wrapSquare wrapText="largest"/>
          <wp:docPr id="2" name="Figura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19730" r="3514" b="31098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Cs/>
        <w:color w:val="000080"/>
      </w:rPr>
      <w:tab/>
    </w:r>
  </w:p>
  <w:p>
    <w:pPr>
      <w:pStyle w:val="Corpodetexto21"/>
      <w:tabs>
        <w:tab w:val="clear" w:pos="708"/>
        <w:tab w:val="left" w:pos="4395" w:leader="none"/>
      </w:tabs>
      <w:rPr>
        <w:rFonts w:ascii="Arial" w:hAnsi="Arial"/>
        <w:b/>
        <w:b/>
      </w:rPr>
    </w:pPr>
    <w:r>
      <w:rPr>
        <w:rFonts w:ascii="Arial" w:hAnsi="Arial"/>
        <w:b/>
      </w:rPr>
    </w:r>
  </w:p>
  <w:p>
    <w:pPr>
      <w:pStyle w:val="Corpodetexto21"/>
      <w:tabs>
        <w:tab w:val="clear" w:pos="708"/>
        <w:tab w:val="left" w:pos="4395" w:leader="none"/>
      </w:tabs>
      <w:spacing w:before="0" w:after="0"/>
      <w:jc w:val="center"/>
      <w:rPr>
        <w:rFonts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PREFEITURA MUNICIPAL DE ANANINDEUA</w:t>
    </w:r>
  </w:p>
  <w:p>
    <w:pPr>
      <w:pStyle w:val="Corpodetexto21"/>
      <w:spacing w:before="0" w:after="0"/>
      <w:jc w:val="center"/>
      <w:rPr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w:t>Secretaria Municipal de Saúde – SESAU</w:t>
    </w:r>
  </w:p>
  <w:p>
    <w:pPr>
      <w:pStyle w:val="Corpodetexto21"/>
      <w:spacing w:before="0" w:after="0"/>
      <w:jc w:val="center"/>
      <w:rPr>
        <w:b/>
        <w:b/>
        <w:bCs/>
      </w:rPr>
    </w:pPr>
    <w:r>
      <w:rPr>
        <w:rFonts w:cs="Arial" w:ascii="Arial" w:hAnsi="Arial"/>
        <w:b/>
        <w:bCs/>
        <w:sz w:val="18"/>
        <w:szCs w:val="18"/>
      </w:rPr>
      <w:t>Coordenação de Projetos e Fiscalização de Obras</w:t>
    </w:r>
  </w:p>
  <w:p>
    <w:pPr>
      <w:pStyle w:val="Corpodetexto21"/>
      <w:spacing w:before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6956dc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0cf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0cf2"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5721"/>
    <w:pPr>
      <w:spacing w:before="0" w:after="16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0cf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0cf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rpodetexto21" w:customStyle="1">
    <w:name w:val="Corpo de texto 21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LibreOffice/7.1.0.3$Windows_X86_64 LibreOffice_project/f6099ecf3d29644b5008cc8f48f42f4a40986e4c</Application>
  <AppVersion>15.0000</AppVersion>
  <Pages>5</Pages>
  <Words>1131</Words>
  <Characters>6533</Characters>
  <CharactersWithSpaces>7666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2023-12-28T18:26:00Z</dcterms:created>
  <dc:creator>SESAU</dc:creator>
  <dc:description/>
  <dc:language>pt-BR</dc:language>
  <cp:lastModifiedBy/>
  <cp:lastPrinted>2024-01-16T13:26:00Z</cp:lastPrinted>
  <dcterms:modified xsi:type="dcterms:W3CDTF">2024-03-20T16:36:18Z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